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3B45A644"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w:t>
      </w:r>
      <w:r w:rsidR="00155F42">
        <w:rPr>
          <w:b/>
          <w:sz w:val="28"/>
          <w:szCs w:val="28"/>
        </w:rPr>
        <w:t>2</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w:t>
      </w:r>
      <w:proofErr w:type="spellStart"/>
      <w:r w:rsidRPr="00D943C8">
        <w:rPr>
          <w:sz w:val="22"/>
          <w:szCs w:val="22"/>
        </w:rPr>
        <w:t>della</w:t>
      </w:r>
      <w:proofErr w:type="spellEnd"/>
      <w:r w:rsidRPr="00D943C8">
        <w:rPr>
          <w:sz w:val="22"/>
          <w:szCs w:val="22"/>
        </w:rPr>
        <w:t xml:space="preserve"> </w:t>
      </w:r>
      <w:proofErr w:type="spellStart"/>
      <w:r w:rsidRPr="00D943C8">
        <w:rPr>
          <w:sz w:val="22"/>
          <w:szCs w:val="22"/>
        </w:rPr>
        <w:t>Borsa</w:t>
      </w:r>
      <w:proofErr w:type="spellEnd"/>
      <w:r w:rsidRPr="00D943C8">
        <w:rPr>
          <w:sz w:val="22"/>
          <w:szCs w:val="22"/>
        </w:rPr>
        <w:t xml:space="preserve">,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5621EACA" w14:textId="1E2E04C6" w:rsidR="00E75AAC" w:rsidRPr="00FB7996" w:rsidRDefault="00E75AAC" w:rsidP="00FB7996">
      <w:pPr>
        <w:spacing w:before="360" w:after="0"/>
        <w:jc w:val="center"/>
        <w:outlineLvl w:val="0"/>
        <w:rPr>
          <w:b/>
          <w:sz w:val="28"/>
        </w:rPr>
      </w:pPr>
      <w:r w:rsidRPr="0036136C">
        <w:rPr>
          <w:b/>
          <w:sz w:val="28"/>
        </w:rPr>
        <w:t>CONTRACT TITLE</w:t>
      </w:r>
      <w:r w:rsidR="00AB1D76">
        <w:rPr>
          <w:b/>
          <w:sz w:val="28"/>
        </w:rPr>
        <w:t>:</w:t>
      </w:r>
      <w:r w:rsidRPr="0036136C">
        <w:rPr>
          <w:b/>
          <w:sz w:val="28"/>
        </w:rPr>
        <w:t xml:space="preserve"> </w:t>
      </w:r>
      <w:r w:rsidR="00155F42">
        <w:rPr>
          <w:b/>
          <w:bCs/>
          <w:iCs/>
          <w:sz w:val="28"/>
        </w:rPr>
        <w:t>Communication</w:t>
      </w:r>
      <w:r w:rsidR="00AC76DC">
        <w:rPr>
          <w:b/>
          <w:bCs/>
          <w:iCs/>
          <w:sz w:val="28"/>
        </w:rPr>
        <w:t xml:space="preserve"> Expert</w:t>
      </w:r>
    </w:p>
    <w:p w14:paraId="6E391D9F" w14:textId="4BCE1EBE"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155F42">
        <w:rPr>
          <w:b/>
          <w:sz w:val="22"/>
        </w:rPr>
        <w:t>-TD2</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15CD1BA1"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155F42">
        <w:rPr>
          <w:sz w:val="22"/>
          <w:szCs w:val="22"/>
        </w:rPr>
        <w:t>rendering of communication support services for the project</w:t>
      </w:r>
      <w:r w:rsidR="00895338">
        <w:rPr>
          <w:sz w:val="22"/>
          <w:szCs w:val="22"/>
        </w:rPr>
        <w:t xml:space="preserve">, </w:t>
      </w:r>
      <w:r w:rsidR="009642E7" w:rsidRPr="0036136C">
        <w:rPr>
          <w:sz w:val="22"/>
          <w:szCs w:val="22"/>
        </w:rPr>
        <w:t xml:space="preserve">with identification number </w:t>
      </w:r>
      <w:r w:rsidR="00F15393" w:rsidRPr="00F15393">
        <w:rPr>
          <w:sz w:val="22"/>
          <w:szCs w:val="22"/>
        </w:rPr>
        <w:t>2024/454-229-TD</w:t>
      </w:r>
      <w:r w:rsidR="00155F42">
        <w:rPr>
          <w:sz w:val="22"/>
          <w:szCs w:val="22"/>
        </w:rPr>
        <w:t>2</w:t>
      </w:r>
      <w:r w:rsidR="00F15393" w:rsidRPr="00F15393">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proofErr w:type="spellStart"/>
            <w:r w:rsidR="00D246B9" w:rsidRPr="00D246B9">
              <w:rPr>
                <w:sz w:val="22"/>
                <w:szCs w:val="22"/>
              </w:rPr>
              <w:t>Lulzim</w:t>
            </w:r>
            <w:proofErr w:type="spellEnd"/>
            <w:r w:rsidR="00D246B9" w:rsidRPr="00D246B9">
              <w:rPr>
                <w:sz w:val="22"/>
                <w:szCs w:val="22"/>
              </w:rPr>
              <w:t xml:space="preserve"> </w:t>
            </w:r>
            <w:proofErr w:type="spellStart"/>
            <w:r w:rsidR="00D246B9" w:rsidRPr="00D246B9">
              <w:rPr>
                <w:sz w:val="22"/>
                <w:szCs w:val="22"/>
              </w:rPr>
              <w:t>Rafuna</w:t>
            </w:r>
            <w:proofErr w:type="spellEnd"/>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r>
      <w:proofErr w:type="spellStart"/>
      <w:r w:rsidRPr="00275ECC">
        <w:rPr>
          <w:sz w:val="22"/>
          <w:szCs w:val="22"/>
        </w:rPr>
        <w:t>Marija</w:t>
      </w:r>
      <w:proofErr w:type="spellEnd"/>
      <w:r w:rsidRPr="00275ECC">
        <w:rPr>
          <w:sz w:val="22"/>
          <w:szCs w:val="22"/>
        </w:rPr>
        <w:t xml:space="preserve"> </w:t>
      </w:r>
      <w:proofErr w:type="spellStart"/>
      <w:r w:rsidRPr="00275ECC">
        <w:rPr>
          <w:sz w:val="22"/>
          <w:szCs w:val="22"/>
        </w:rPr>
        <w:t>Askovic</w:t>
      </w:r>
      <w:proofErr w:type="spellEnd"/>
      <w:r w:rsidRPr="00275ECC">
        <w:rPr>
          <w:sz w:val="22"/>
          <w:szCs w:val="22"/>
        </w:rPr>
        <w:t xml:space="preserve"> </w:t>
      </w:r>
      <w:proofErr w:type="spellStart"/>
      <w:r w:rsidRPr="00275ECC">
        <w:rPr>
          <w:sz w:val="22"/>
          <w:szCs w:val="22"/>
        </w:rPr>
        <w:t>Matic</w:t>
      </w:r>
      <w:proofErr w:type="spellEnd"/>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 xml:space="preserve">14, Piazza </w:t>
      </w:r>
      <w:proofErr w:type="spellStart"/>
      <w:r w:rsidRPr="00275ECC">
        <w:rPr>
          <w:sz w:val="22"/>
          <w:szCs w:val="22"/>
        </w:rPr>
        <w:t>della</w:t>
      </w:r>
      <w:proofErr w:type="spellEnd"/>
      <w:r w:rsidRPr="00275ECC">
        <w:rPr>
          <w:sz w:val="22"/>
          <w:szCs w:val="22"/>
        </w:rPr>
        <w:t xml:space="preserve"> </w:t>
      </w:r>
      <w:proofErr w:type="spellStart"/>
      <w:r w:rsidRPr="00275ECC">
        <w:rPr>
          <w:sz w:val="22"/>
          <w:szCs w:val="22"/>
        </w:rPr>
        <w:t>Borsa</w:t>
      </w:r>
      <w:proofErr w:type="spellEnd"/>
      <w:r w:rsidRPr="00275ECC">
        <w:rPr>
          <w:sz w:val="22"/>
          <w:szCs w:val="22"/>
        </w:rPr>
        <w:t>,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4BCC65EB"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F15393">
        <w:rPr>
          <w:sz w:val="22"/>
          <w:szCs w:val="22"/>
        </w:rPr>
        <w:t>until 25/12/2024</w:t>
      </w:r>
      <w:r w:rsidRPr="00D74C5A">
        <w:rPr>
          <w:sz w:val="22"/>
          <w:szCs w:val="22"/>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260789" w:rsidRPr="0036136C" w14:paraId="7CC56A96" w14:textId="77777777" w:rsidTr="00AC76DC">
        <w:trPr>
          <w:cantSplit/>
          <w:trHeight w:val="548"/>
        </w:trPr>
        <w:tc>
          <w:tcPr>
            <w:tcW w:w="1134" w:type="dxa"/>
            <w:tcBorders>
              <w:bottom w:val="nil"/>
            </w:tcBorders>
          </w:tcPr>
          <w:p w14:paraId="60CF844D" w14:textId="7CCBAB95" w:rsidR="00260789" w:rsidRPr="0036136C" w:rsidRDefault="00AC76DC" w:rsidP="00260789">
            <w:pPr>
              <w:spacing w:before="40" w:after="40"/>
              <w:jc w:val="center"/>
              <w:rPr>
                <w:b/>
                <w:sz w:val="22"/>
                <w:szCs w:val="22"/>
              </w:rPr>
            </w:pPr>
            <w:r>
              <w:rPr>
                <w:b/>
                <w:sz w:val="22"/>
                <w:szCs w:val="22"/>
              </w:rPr>
              <w:t>Aug 2024</w:t>
            </w:r>
          </w:p>
        </w:tc>
        <w:tc>
          <w:tcPr>
            <w:tcW w:w="6078" w:type="dxa"/>
            <w:tcBorders>
              <w:bottom w:val="nil"/>
            </w:tcBorders>
          </w:tcPr>
          <w:p w14:paraId="141360A8" w14:textId="4B3F4C7E" w:rsidR="00A13FD0" w:rsidRPr="00A13FD0" w:rsidRDefault="00AC76DC" w:rsidP="00AC76DC">
            <w:pPr>
              <w:spacing w:before="40" w:after="40"/>
              <w:rPr>
                <w:sz w:val="20"/>
              </w:rPr>
            </w:pPr>
            <w:r>
              <w:rPr>
                <w:b/>
                <w:sz w:val="22"/>
                <w:szCs w:val="22"/>
              </w:rPr>
              <w:t>Interim payment</w:t>
            </w:r>
          </w:p>
        </w:tc>
        <w:tc>
          <w:tcPr>
            <w:tcW w:w="1520" w:type="dxa"/>
            <w:tcBorders>
              <w:bottom w:val="nil"/>
            </w:tcBorders>
          </w:tcPr>
          <w:p w14:paraId="466FC8F9" w14:textId="0C077815" w:rsidR="00260789" w:rsidRPr="0036136C" w:rsidRDefault="00F15393" w:rsidP="00260789">
            <w:pPr>
              <w:spacing w:after="0"/>
              <w:jc w:val="center"/>
              <w:rPr>
                <w:sz w:val="22"/>
                <w:szCs w:val="22"/>
              </w:rPr>
            </w:pPr>
            <w:r>
              <w:rPr>
                <w:sz w:val="22"/>
                <w:szCs w:val="22"/>
                <w:highlight w:val="yellow"/>
              </w:rPr>
              <w:t>50</w:t>
            </w:r>
            <w:r w:rsidR="00260789" w:rsidRPr="00104095">
              <w:rPr>
                <w:w w:val="50"/>
                <w:sz w:val="22"/>
                <w:szCs w:val="22"/>
                <w:highlight w:val="yellow"/>
              </w:rPr>
              <w:t> </w:t>
            </w:r>
            <w:r w:rsidR="00260789" w:rsidRPr="00104095">
              <w:rPr>
                <w:sz w:val="22"/>
                <w:szCs w:val="22"/>
                <w:highlight w:val="yellow"/>
              </w:rPr>
              <w:t>% of the contract value</w:t>
            </w:r>
          </w:p>
          <w:p w14:paraId="497DDE49" w14:textId="77777777" w:rsidR="00260789" w:rsidRPr="0036136C" w:rsidRDefault="00260789" w:rsidP="00260789">
            <w:pPr>
              <w:spacing w:after="0"/>
              <w:jc w:val="center"/>
              <w:rPr>
                <w:sz w:val="22"/>
                <w:szCs w:val="22"/>
              </w:rPr>
            </w:pPr>
          </w:p>
        </w:tc>
      </w:tr>
      <w:tr w:rsidR="00AC76DC" w:rsidRPr="0036136C" w14:paraId="515438CB" w14:textId="77777777" w:rsidTr="00AC76DC">
        <w:trPr>
          <w:cantSplit/>
          <w:trHeight w:val="575"/>
        </w:trPr>
        <w:tc>
          <w:tcPr>
            <w:tcW w:w="1134" w:type="dxa"/>
            <w:tcBorders>
              <w:bottom w:val="nil"/>
            </w:tcBorders>
          </w:tcPr>
          <w:p w14:paraId="73F9B15F" w14:textId="75169FA1" w:rsidR="00AC76DC" w:rsidRDefault="00AC76DC" w:rsidP="00260789">
            <w:pPr>
              <w:spacing w:before="40" w:after="40"/>
              <w:jc w:val="center"/>
              <w:rPr>
                <w:b/>
                <w:sz w:val="22"/>
                <w:szCs w:val="22"/>
              </w:rPr>
            </w:pPr>
            <w:r>
              <w:rPr>
                <w:b/>
                <w:sz w:val="22"/>
                <w:szCs w:val="22"/>
              </w:rPr>
              <w:t>Dec 2024</w:t>
            </w:r>
          </w:p>
        </w:tc>
        <w:tc>
          <w:tcPr>
            <w:tcW w:w="6078" w:type="dxa"/>
            <w:tcBorders>
              <w:bottom w:val="nil"/>
            </w:tcBorders>
          </w:tcPr>
          <w:p w14:paraId="4D167389" w14:textId="354998DC" w:rsidR="00AC76DC" w:rsidRDefault="0045323C" w:rsidP="00A13FD0">
            <w:pPr>
              <w:spacing w:before="40" w:after="40"/>
              <w:rPr>
                <w:b/>
                <w:sz w:val="22"/>
                <w:szCs w:val="22"/>
              </w:rPr>
            </w:pPr>
            <w:r>
              <w:rPr>
                <w:b/>
                <w:sz w:val="22"/>
                <w:szCs w:val="22"/>
              </w:rPr>
              <w:t>Final</w:t>
            </w:r>
            <w:r w:rsidR="00AC76DC">
              <w:rPr>
                <w:b/>
                <w:sz w:val="22"/>
                <w:szCs w:val="22"/>
              </w:rPr>
              <w:t xml:space="preserve"> payment</w:t>
            </w:r>
          </w:p>
        </w:tc>
        <w:tc>
          <w:tcPr>
            <w:tcW w:w="1520" w:type="dxa"/>
            <w:tcBorders>
              <w:bottom w:val="nil"/>
            </w:tcBorders>
          </w:tcPr>
          <w:p w14:paraId="29FAF223" w14:textId="77777777" w:rsidR="00AC76DC" w:rsidRPr="00AC76DC" w:rsidRDefault="00AC76DC" w:rsidP="00AC76DC">
            <w:pPr>
              <w:spacing w:after="0"/>
              <w:jc w:val="center"/>
              <w:rPr>
                <w:sz w:val="22"/>
                <w:szCs w:val="22"/>
                <w:highlight w:val="yellow"/>
              </w:rPr>
            </w:pPr>
            <w:r w:rsidRPr="00AC76DC">
              <w:rPr>
                <w:sz w:val="22"/>
                <w:szCs w:val="22"/>
                <w:highlight w:val="yellow"/>
              </w:rPr>
              <w:t>50 % of the contract value</w:t>
            </w:r>
          </w:p>
          <w:p w14:paraId="715B2981" w14:textId="77777777" w:rsidR="00AC76DC" w:rsidRDefault="00AC76DC" w:rsidP="00260789">
            <w:pPr>
              <w:spacing w:after="0"/>
              <w:jc w:val="center"/>
              <w:rPr>
                <w:sz w:val="22"/>
                <w:szCs w:val="22"/>
                <w:highlight w:val="yellow"/>
              </w:rPr>
            </w:pPr>
          </w:p>
        </w:tc>
      </w:tr>
      <w:tr w:rsidR="00260789"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260789" w:rsidRPr="0036136C" w:rsidRDefault="00260789" w:rsidP="00260789">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260789" w:rsidRPr="0036136C" w:rsidRDefault="00260789" w:rsidP="00260789">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260789" w:rsidRPr="0036136C" w:rsidRDefault="00260789" w:rsidP="00260789">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w:t>
      </w:r>
      <w:proofErr w:type="spellStart"/>
      <w:r w:rsidRPr="00117276">
        <w:rPr>
          <w:sz w:val="22"/>
          <w:szCs w:val="22"/>
        </w:rPr>
        <w:t>ePRAG</w:t>
      </w:r>
      <w:proofErr w:type="spellEnd"/>
      <w:r w:rsidRPr="00117276">
        <w:rPr>
          <w:sz w:val="22"/>
          <w:szCs w:val="22"/>
        </w:rPr>
        <w:t>.</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46B4" w14:textId="3BB4901F"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155F42">
      <w:rPr>
        <w:rFonts w:ascii="Times New Roman" w:hAnsi="Times New Roman"/>
        <w:b/>
        <w:sz w:val="20"/>
      </w:rPr>
      <w:t>2</w:t>
    </w:r>
  </w:p>
  <w:p w14:paraId="667F518A" w14:textId="07205088"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9E0BEF">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9E0BEF">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48CC" w14:textId="63B6CDEA"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155F42">
      <w:rPr>
        <w:rFonts w:ascii="Times New Roman" w:hAnsi="Times New Roman"/>
        <w:b/>
        <w:sz w:val="20"/>
      </w:rPr>
      <w:t>2</w:t>
    </w:r>
  </w:p>
  <w:p w14:paraId="08A5DB34" w14:textId="3CBE88EC"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155F42">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155F42">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w:t>
      </w:r>
      <w:bookmarkStart w:id="0" w:name="_GoBack"/>
      <w:bookmarkEnd w:id="0"/>
      <w:r w:rsidRPr="00DD7C1C">
        <w:t>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932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55F42"/>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73D38"/>
    <w:rsid w:val="0068231A"/>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DB2"/>
    <w:rsid w:val="008D3ED6"/>
    <w:rsid w:val="008D4CD7"/>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BEF"/>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DB32C-4336-42D2-84C3-EC3101B98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283</TotalTime>
  <Pages>5</Pages>
  <Words>1289</Words>
  <Characters>7350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47</cp:revision>
  <cp:lastPrinted>2013-05-17T10:14:00Z</cp:lastPrinted>
  <dcterms:created xsi:type="dcterms:W3CDTF">2020-04-17T17:06:00Z</dcterms:created>
  <dcterms:modified xsi:type="dcterms:W3CDTF">2024-03-12T15:59:00Z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